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84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11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6" w:beforeAutospacing="0" w:after="316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1"/>
          <w:sz w:val="44"/>
          <w:szCs w:val="44"/>
          <w:bdr w:val="none" w:color="auto" w:sz="0" w:space="0"/>
          <w:shd w:val="clear" w:fill="FFFFFF"/>
        </w:rPr>
        <w:t>2024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1"/>
          <w:sz w:val="44"/>
          <w:szCs w:val="44"/>
          <w:bdr w:val="none" w:color="auto" w:sz="0" w:space="0"/>
          <w:shd w:val="clear" w:fill="FFFFFF"/>
        </w:rPr>
        <w:t>年松溪县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1"/>
          <w:sz w:val="44"/>
          <w:szCs w:val="44"/>
          <w:bdr w:val="none" w:color="auto" w:sz="0" w:space="0"/>
          <w:shd w:val="clear" w:fill="FFFFFF"/>
        </w:rPr>
        <w:t>“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1"/>
          <w:sz w:val="44"/>
          <w:szCs w:val="44"/>
          <w:bdr w:val="none" w:color="auto" w:sz="0" w:space="0"/>
          <w:shd w:val="clear" w:fill="FFFFFF"/>
        </w:rPr>
        <w:t>校园行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1"/>
          <w:sz w:val="44"/>
          <w:szCs w:val="44"/>
          <w:bdr w:val="none" w:color="auto" w:sz="0" w:space="0"/>
          <w:shd w:val="clear" w:fill="FFFFFF"/>
        </w:rPr>
        <w:t>”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1"/>
          <w:sz w:val="44"/>
          <w:szCs w:val="44"/>
          <w:bdr w:val="none" w:color="auto" w:sz="0" w:space="0"/>
          <w:shd w:val="clear" w:fill="FFFFFF"/>
        </w:rPr>
        <w:t>紧缺急需学科专业教师招聘简章</w:t>
      </w:r>
    </w:p>
    <w:tbl>
      <w:tblPr>
        <w:tblW w:w="81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6"/>
        <w:gridCol w:w="506"/>
        <w:gridCol w:w="471"/>
        <w:gridCol w:w="846"/>
        <w:gridCol w:w="821"/>
        <w:gridCol w:w="3263"/>
        <w:gridCol w:w="572"/>
        <w:gridCol w:w="8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3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考试形式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。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2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高中政治</w:t>
            </w:r>
          </w:p>
        </w:tc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政治学类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2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初中政治</w:t>
            </w:r>
          </w:p>
        </w:tc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政治学类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8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通用技术</w:t>
            </w:r>
          </w:p>
        </w:tc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物理学类、计算机科学与技术（类）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9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中等职业技术学校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9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中等职业技术学校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高中政治</w:t>
            </w:r>
          </w:p>
        </w:tc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政治学类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EA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2024-05-22T08:14:14Z</dcterms:created>
  <dc:creator>19219</dc:creator>
  <cp:lastModifiedBy>19219</cp:lastModifiedBy>
  <dcterms:modified xsi:type="dcterms:W3CDTF">2024-05-22T08:14:29Z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C3BC44EBD292455694F0E87605A77E44_12</vt:lpwstr>
  </property>
</Properties>
</file>